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4C" w:rsidRDefault="00AE504C" w:rsidP="00AE504C">
      <w:pPr>
        <w:pStyle w:val="a3"/>
        <w:spacing w:before="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УЧЕТНАЯ ПОЛИТИКА (выдержка)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0A0A0A"/>
          <w:sz w:val="27"/>
          <w:szCs w:val="27"/>
        </w:rPr>
        <w:t>1. Основные положения</w:t>
      </w:r>
    </w:p>
    <w:p w:rsidR="00AE504C" w:rsidRDefault="00E57C02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 xml:space="preserve">1.1. </w:t>
      </w:r>
      <w:r w:rsidR="00AE504C">
        <w:rPr>
          <w:rStyle w:val="a4"/>
          <w:rFonts w:ascii="Arial" w:hAnsi="Arial" w:cs="Arial"/>
          <w:color w:val="0A0A0A"/>
          <w:sz w:val="27"/>
          <w:szCs w:val="27"/>
        </w:rPr>
        <w:t xml:space="preserve"> Учетная политика разработана в соответствии с требованиями законодательных и нормативных правовых актов, регулирующими ведение бюджетного учета и составление бюджетной (финансовой) отчетности в организациях государственного сектора эконом</w:t>
      </w:r>
      <w:r>
        <w:rPr>
          <w:rStyle w:val="a4"/>
          <w:rFonts w:ascii="Arial" w:hAnsi="Arial" w:cs="Arial"/>
          <w:color w:val="0A0A0A"/>
          <w:sz w:val="27"/>
          <w:szCs w:val="27"/>
        </w:rPr>
        <w:t>ики.</w:t>
      </w:r>
    </w:p>
    <w:p w:rsidR="00AE504C" w:rsidRPr="00E57C02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1.2. Применяется рабочий план счетов, разработанный на основании </w:t>
      </w:r>
      <w:hyperlink r:id="rId4" w:history="1">
        <w:r w:rsidRPr="00E57C02">
          <w:rPr>
            <w:rStyle w:val="a5"/>
            <w:rFonts w:ascii="Arial" w:hAnsi="Arial" w:cs="Arial"/>
            <w:i/>
            <w:iCs/>
            <w:color w:val="auto"/>
            <w:sz w:val="27"/>
            <w:szCs w:val="27"/>
            <w:bdr w:val="none" w:sz="0" w:space="0" w:color="auto" w:frame="1"/>
          </w:rPr>
          <w:t>Инструкции № 162н</w:t>
        </w:r>
      </w:hyperlink>
      <w:r w:rsidR="00E57C02" w:rsidRPr="00E57C02">
        <w:rPr>
          <w:rStyle w:val="a4"/>
          <w:rFonts w:ascii="Arial" w:hAnsi="Arial" w:cs="Arial"/>
          <w:sz w:val="27"/>
          <w:szCs w:val="27"/>
        </w:rPr>
        <w:t>.</w:t>
      </w:r>
      <w:bookmarkStart w:id="0" w:name="_GoBack"/>
      <w:bookmarkEnd w:id="0"/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1.3. Бюджетный учет осуществляется с применением программного обеспечения по следующим учетным блокам: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а) оплата труда – 1С «Зарплата и кадры государственного учреждения 8.3»;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б) формирование сводных регистров и бюджетной отчетности – 1С «Бухгалтерия государственного учреждения 8.3».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1.4. Представление бюджетной квартальной и годовой отчетности осуществляется в сроки, установленные главным распорядителем бюджетных средств (ГРБС).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1.5. Событием после отчетной даты признается событие, произошедшее в период с 1 января года, следующего за отчетным, и сроком представления годовой бюджетной</w:t>
      </w:r>
      <w:r w:rsidR="00E57C02">
        <w:rPr>
          <w:rStyle w:val="a4"/>
          <w:rFonts w:ascii="Arial" w:hAnsi="Arial" w:cs="Arial"/>
          <w:color w:val="0A0A0A"/>
          <w:sz w:val="27"/>
          <w:szCs w:val="27"/>
        </w:rPr>
        <w:t xml:space="preserve"> отчетности.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1.6. Порядок представления первичных учетных документов в бухгалтерию учреждения установлен Граф</w:t>
      </w:r>
      <w:r w:rsidR="00E57C02">
        <w:rPr>
          <w:rStyle w:val="a4"/>
          <w:rFonts w:ascii="Arial" w:hAnsi="Arial" w:cs="Arial"/>
          <w:color w:val="0A0A0A"/>
          <w:sz w:val="27"/>
          <w:szCs w:val="27"/>
        </w:rPr>
        <w:t>иком документооборота</w:t>
      </w:r>
      <w:r>
        <w:rPr>
          <w:rStyle w:val="a4"/>
          <w:rFonts w:ascii="Arial" w:hAnsi="Arial" w:cs="Arial"/>
          <w:color w:val="0A0A0A"/>
          <w:sz w:val="27"/>
          <w:szCs w:val="27"/>
        </w:rPr>
        <w:t>.</w:t>
      </w:r>
    </w:p>
    <w:p w:rsidR="00AE504C" w:rsidRDefault="00E57C02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 xml:space="preserve">1.7. Требования </w:t>
      </w:r>
      <w:r w:rsidR="00AE504C">
        <w:rPr>
          <w:rStyle w:val="a4"/>
          <w:rFonts w:ascii="Arial" w:hAnsi="Arial" w:cs="Arial"/>
          <w:color w:val="0A0A0A"/>
          <w:sz w:val="27"/>
          <w:szCs w:val="27"/>
        </w:rPr>
        <w:t>бухгалтер</w:t>
      </w:r>
      <w:r>
        <w:rPr>
          <w:rStyle w:val="a4"/>
          <w:rFonts w:ascii="Arial" w:hAnsi="Arial" w:cs="Arial"/>
          <w:color w:val="0A0A0A"/>
          <w:sz w:val="27"/>
          <w:szCs w:val="27"/>
        </w:rPr>
        <w:t>ии</w:t>
      </w:r>
      <w:r w:rsidR="00AE504C">
        <w:rPr>
          <w:rStyle w:val="a4"/>
          <w:rFonts w:ascii="Arial" w:hAnsi="Arial" w:cs="Arial"/>
          <w:color w:val="0A0A0A"/>
          <w:sz w:val="27"/>
          <w:szCs w:val="27"/>
        </w:rPr>
        <w:t xml:space="preserve"> по документальному оформлению фактов хозяйственной жизни и представлению в бухгалтерию необходимых документов и сведений являются обязательными для всех работников учреждения. Без подписи </w:t>
      </w:r>
      <w:r>
        <w:rPr>
          <w:rStyle w:val="a4"/>
          <w:rFonts w:ascii="Arial" w:hAnsi="Arial" w:cs="Arial"/>
          <w:color w:val="0A0A0A"/>
          <w:sz w:val="27"/>
          <w:szCs w:val="27"/>
        </w:rPr>
        <w:t>руководителя</w:t>
      </w:r>
      <w:r w:rsidR="00AE504C">
        <w:rPr>
          <w:rStyle w:val="a4"/>
          <w:rFonts w:ascii="Arial" w:hAnsi="Arial" w:cs="Arial"/>
          <w:color w:val="0A0A0A"/>
          <w:sz w:val="27"/>
          <w:szCs w:val="27"/>
        </w:rPr>
        <w:t xml:space="preserve"> денежные и расчетные документы, финансовые и кредитные обязательства считаются недействительными и не должны приниматься к исполнению.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1.8. Расчеты с подотчетными лицами и командированными сотрудниками осущес</w:t>
      </w:r>
      <w:r w:rsidR="00E57C02">
        <w:rPr>
          <w:rStyle w:val="a4"/>
          <w:rFonts w:ascii="Arial" w:hAnsi="Arial" w:cs="Arial"/>
          <w:color w:val="0A0A0A"/>
          <w:sz w:val="27"/>
          <w:szCs w:val="27"/>
        </w:rPr>
        <w:t>твляется в соответствии с законодательством РФ</w:t>
      </w:r>
      <w:r>
        <w:rPr>
          <w:rStyle w:val="a4"/>
          <w:rFonts w:ascii="Arial" w:hAnsi="Arial" w:cs="Arial"/>
          <w:color w:val="0A0A0A"/>
          <w:sz w:val="27"/>
          <w:szCs w:val="27"/>
        </w:rPr>
        <w:t>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1.9. Внеплановые инвентаризации активов, имущества, обязательств и иных объектов учета учреждения проводятся на основании приказа руководителя в сроки им установленные.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lastRenderedPageBreak/>
        <w:t>1.10. Плановые инвентаризации активов, имущества, обязательств и иных объектов учета учреждения проводятся перед формированием годовой бюджетной отчетности на основании приказа руководителя в следующие сроки: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– нефинансовые активы – не ранее 1 октября отчетного года;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– имущество на </w:t>
      </w:r>
      <w:proofErr w:type="spellStart"/>
      <w:r>
        <w:rPr>
          <w:rStyle w:val="a4"/>
          <w:rFonts w:ascii="Arial" w:hAnsi="Arial" w:cs="Arial"/>
          <w:color w:val="0A0A0A"/>
          <w:sz w:val="27"/>
          <w:szCs w:val="27"/>
        </w:rPr>
        <w:t>забалансовых</w:t>
      </w:r>
      <w:proofErr w:type="spellEnd"/>
      <w:r>
        <w:rPr>
          <w:rStyle w:val="a4"/>
          <w:rFonts w:ascii="Arial" w:hAnsi="Arial" w:cs="Arial"/>
          <w:color w:val="0A0A0A"/>
          <w:sz w:val="27"/>
          <w:szCs w:val="27"/>
        </w:rPr>
        <w:t xml:space="preserve"> счетах – не ранее 1 октября отчетного года;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– сверка расчетов и обязательств с контрагентами – не ранее 1 октября отчетного года;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 xml:space="preserve">– иные объекты бюджетного учета – </w:t>
      </w:r>
      <w:r w:rsidR="00E57C02">
        <w:rPr>
          <w:rStyle w:val="a4"/>
          <w:rFonts w:ascii="Arial" w:hAnsi="Arial" w:cs="Arial"/>
          <w:color w:val="0A0A0A"/>
          <w:sz w:val="27"/>
          <w:szCs w:val="27"/>
        </w:rPr>
        <w:t xml:space="preserve">не ранее 1 октября отчетного </w:t>
      </w:r>
      <w:proofErr w:type="gramStart"/>
      <w:r w:rsidR="00E57C02">
        <w:rPr>
          <w:rStyle w:val="a4"/>
          <w:rFonts w:ascii="Arial" w:hAnsi="Arial" w:cs="Arial"/>
          <w:color w:val="0A0A0A"/>
          <w:sz w:val="27"/>
          <w:szCs w:val="27"/>
        </w:rPr>
        <w:t>года.</w:t>
      </w:r>
      <w:r>
        <w:rPr>
          <w:rStyle w:val="a4"/>
          <w:rFonts w:ascii="Arial" w:hAnsi="Arial" w:cs="Arial"/>
          <w:color w:val="0A0A0A"/>
          <w:sz w:val="27"/>
          <w:szCs w:val="27"/>
        </w:rPr>
        <w:t>.</w:t>
      </w:r>
      <w:proofErr w:type="gramEnd"/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1.11. Состав постоянно действующей инвентаризационной комиссии устанавливается руководителем учреждения</w:t>
      </w:r>
      <w:r w:rsidR="00E57C02">
        <w:rPr>
          <w:rStyle w:val="a4"/>
          <w:rFonts w:ascii="Arial" w:hAnsi="Arial" w:cs="Arial"/>
          <w:color w:val="0A0A0A"/>
          <w:sz w:val="27"/>
          <w:szCs w:val="27"/>
        </w:rPr>
        <w:t>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1.12. Комиссия по поступлению и выбытию активов осуществляет свою деятельность на основании Положения.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1.13. К бюджетному учету принимаются первичные учетные документы, поступившие по результатам внутреннего контроля совершаемых фактов хозяйственной жизни для регистрации содержащихся в них данных в регистрах бюджетного учета, из предположения надлежащего составления первичных учетных документов лицами, ответственными за их оформление.</w:t>
      </w:r>
    </w:p>
    <w:p w:rsidR="00AE504C" w:rsidRDefault="00AE504C" w:rsidP="00AE504C">
      <w:pPr>
        <w:pStyle w:val="a3"/>
        <w:spacing w:before="240" w:beforeAutospacing="0" w:after="24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1.14. Внутренний финансовый контроль осуществляется на основании Положения</w:t>
      </w:r>
      <w:r w:rsidR="00E57C02">
        <w:rPr>
          <w:rStyle w:val="a4"/>
          <w:rFonts w:ascii="Arial" w:hAnsi="Arial" w:cs="Arial"/>
          <w:color w:val="0A0A0A"/>
          <w:sz w:val="27"/>
          <w:szCs w:val="27"/>
        </w:rPr>
        <w:t xml:space="preserve"> о внутреннем финансовом контроле</w:t>
      </w:r>
      <w:r>
        <w:rPr>
          <w:rStyle w:val="a4"/>
          <w:rFonts w:ascii="Arial" w:hAnsi="Arial" w:cs="Arial"/>
          <w:color w:val="0A0A0A"/>
          <w:sz w:val="27"/>
          <w:szCs w:val="27"/>
        </w:rPr>
        <w:t>.</w:t>
      </w:r>
    </w:p>
    <w:p w:rsidR="00AE504C" w:rsidRDefault="00AE504C" w:rsidP="00AE504C">
      <w:pPr>
        <w:pStyle w:val="a3"/>
        <w:spacing w:before="240" w:beforeAutospacing="0" w:after="0" w:afterAutospacing="0"/>
        <w:rPr>
          <w:rFonts w:ascii="Arial" w:hAnsi="Arial" w:cs="Arial"/>
          <w:color w:val="0A0A0A"/>
          <w:sz w:val="27"/>
          <w:szCs w:val="27"/>
        </w:rPr>
      </w:pPr>
      <w:r>
        <w:rPr>
          <w:rStyle w:val="a4"/>
          <w:rFonts w:ascii="Arial" w:hAnsi="Arial" w:cs="Arial"/>
          <w:color w:val="0A0A0A"/>
          <w:sz w:val="27"/>
          <w:szCs w:val="27"/>
        </w:rPr>
        <w:t>1.15. Хранение документов учетной политики и других документов, связанных с организацией и ведением бюджетного учета (в том числе документов, составленных в электронном виде и подписанных электронными подписями), осуществляется в течение пяти лет после года, в котором они использовались при ведении бюджетного учета и (или) для составления отчетности в последний раз.</w:t>
      </w:r>
    </w:p>
    <w:tbl>
      <w:tblPr>
        <w:tblW w:w="9923" w:type="dxa"/>
        <w:tblInd w:w="-1423" w:type="dxa"/>
        <w:tblLook w:val="04A0" w:firstRow="1" w:lastRow="0" w:firstColumn="1" w:lastColumn="0" w:noHBand="0" w:noVBand="1"/>
      </w:tblPr>
      <w:tblGrid>
        <w:gridCol w:w="2327"/>
        <w:gridCol w:w="1167"/>
        <w:gridCol w:w="1401"/>
        <w:gridCol w:w="5028"/>
      </w:tblGrid>
      <w:tr w:rsidR="000524B6" w:rsidRPr="000524B6" w:rsidTr="000524B6">
        <w:trPr>
          <w:trHeight w:val="600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счета</w:t>
            </w: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бюджетного учета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ведения бюджетного учета</w:t>
            </w:r>
          </w:p>
        </w:tc>
        <w:tc>
          <w:tcPr>
            <w:tcW w:w="5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Характеристика </w:t>
            </w:r>
            <w:proofErr w:type="spellStart"/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примеяемого</w:t>
            </w:r>
            <w:proofErr w:type="spellEnd"/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способа</w:t>
            </w:r>
          </w:p>
        </w:tc>
      </w:tr>
      <w:tr w:rsidR="000524B6" w:rsidRPr="000524B6" w:rsidTr="000524B6">
        <w:trPr>
          <w:trHeight w:val="237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B6" w:rsidRPr="000524B6" w:rsidRDefault="000524B6" w:rsidP="000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524B6" w:rsidRPr="000524B6" w:rsidTr="000524B6">
        <w:trPr>
          <w:trHeight w:val="1440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Активы, обязательства, финансовый результат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ведения бухгалтерского учета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Полномочия переданы централизованной бухгалтерии Муниципальному казенному учреждению "Централизованная бухгалтерия учреждений культуры </w:t>
            </w:r>
            <w:proofErr w:type="spellStart"/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Приозерского</w:t>
            </w:r>
            <w:proofErr w:type="spellEnd"/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Ленинградской области" на основании договоров о бухгалтерском обслуживании</w:t>
            </w:r>
          </w:p>
        </w:tc>
      </w:tr>
      <w:tr w:rsidR="000524B6" w:rsidRPr="000524B6" w:rsidTr="000524B6">
        <w:trPr>
          <w:trHeight w:val="960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средства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0 101 00 000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срока полезного использования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Исходя из ожидаемого срока получения экономических выгод и (или) полезного потенциала, заключенных в активе, признаваемом объектом основных средств </w:t>
            </w:r>
          </w:p>
        </w:tc>
      </w:tr>
      <w:tr w:rsidR="000524B6" w:rsidRPr="000524B6" w:rsidTr="000524B6">
        <w:trPr>
          <w:trHeight w:val="288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0 104 00 000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начисления амортизации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Линейный метод </w:t>
            </w:r>
          </w:p>
        </w:tc>
      </w:tr>
      <w:tr w:rsidR="000524B6" w:rsidRPr="000524B6" w:rsidTr="000524B6">
        <w:trPr>
          <w:trHeight w:val="288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0 105 00 000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Выбытие материальных запасов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 стоимости каждой единицы </w:t>
            </w:r>
          </w:p>
        </w:tc>
      </w:tr>
      <w:tr w:rsidR="000524B6" w:rsidRPr="000524B6" w:rsidTr="000524B6">
        <w:trPr>
          <w:trHeight w:val="288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Условная оценка: один бланк, один рубль </w:t>
            </w:r>
          </w:p>
        </w:tc>
      </w:tr>
      <w:tr w:rsidR="000524B6" w:rsidRPr="000524B6" w:rsidTr="000524B6">
        <w:trPr>
          <w:trHeight w:val="480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средства в эксплуатации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4B6" w:rsidRPr="000524B6" w:rsidRDefault="000524B6" w:rsidP="0005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По балансовой стоимости введенного в эксплуатацию объекта </w:t>
            </w:r>
          </w:p>
        </w:tc>
      </w:tr>
    </w:tbl>
    <w:p w:rsidR="00D53391" w:rsidRDefault="00D53391"/>
    <w:sectPr w:rsidR="00D53391" w:rsidSect="00E57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C"/>
    <w:rsid w:val="000524B6"/>
    <w:rsid w:val="00AE504C"/>
    <w:rsid w:val="00D53391"/>
    <w:rsid w:val="00E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EB3A"/>
  <w15:chartTrackingRefBased/>
  <w15:docId w15:val="{E0157235-6FC3-4C8E-8848-7585CA4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504C"/>
    <w:rPr>
      <w:i/>
      <w:iCs/>
    </w:rPr>
  </w:style>
  <w:style w:type="character" w:styleId="a5">
    <w:name w:val="Hyperlink"/>
    <w:basedOn w:val="a0"/>
    <w:uiPriority w:val="99"/>
    <w:semiHidden/>
    <w:unhideWhenUsed/>
    <w:rsid w:val="00AE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erk.ru/doc/558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2023-10-24T12:53:00Z</dcterms:created>
  <dcterms:modified xsi:type="dcterms:W3CDTF">2023-10-24T13:38:00Z</dcterms:modified>
</cp:coreProperties>
</file>